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6F8" w:rsidRPr="004C5944" w:rsidRDefault="00B95CD3" w:rsidP="00C416F8">
      <w:pPr>
        <w:jc w:val="center"/>
        <w:rPr>
          <w:rFonts w:eastAsiaTheme="minorEastAsia"/>
          <w:lang w:val="kk-KZ"/>
        </w:rPr>
      </w:pPr>
      <w:r w:rsidRPr="004C5944">
        <w:rPr>
          <w:b/>
          <w:lang w:val="kk-KZ"/>
        </w:rPr>
        <w:t xml:space="preserve"> </w:t>
      </w:r>
      <w:r w:rsidR="003B02D6" w:rsidRPr="004C5944">
        <w:rPr>
          <w:b/>
          <w:lang w:val="kk-KZ"/>
        </w:rPr>
        <w:t>«Инклюзивті білім беру</w:t>
      </w:r>
      <w:r w:rsidR="003B02D6" w:rsidRPr="004C5944">
        <w:rPr>
          <w:lang w:val="kk-KZ"/>
        </w:rPr>
        <w:t>» пәнінен</w:t>
      </w:r>
      <w:r w:rsidR="00C416F8" w:rsidRPr="004C5944">
        <w:rPr>
          <w:rFonts w:eastAsiaTheme="minorEastAsia"/>
          <w:lang w:val="kk-KZ"/>
        </w:rPr>
        <w:t xml:space="preserve"> </w:t>
      </w:r>
      <w:bookmarkStart w:id="0" w:name="_GoBack"/>
      <w:r w:rsidR="00C416F8" w:rsidRPr="004C5944">
        <w:rPr>
          <w:rFonts w:eastAsiaTheme="minorEastAsia"/>
          <w:lang w:val="kk-KZ"/>
        </w:rPr>
        <w:t>оқу әдістемелік жабдықтау ка</w:t>
      </w:r>
      <w:r w:rsidR="00470AD8">
        <w:rPr>
          <w:rFonts w:eastAsiaTheme="minorEastAsia"/>
          <w:lang w:val="kk-KZ"/>
        </w:rPr>
        <w:t>р</w:t>
      </w:r>
      <w:r w:rsidR="00C416F8" w:rsidRPr="004C5944">
        <w:rPr>
          <w:rFonts w:eastAsiaTheme="minorEastAsia"/>
          <w:lang w:val="kk-KZ"/>
        </w:rPr>
        <w:t xml:space="preserve">тасы </w:t>
      </w:r>
      <w:bookmarkEnd w:id="0"/>
    </w:p>
    <w:p w:rsidR="00C416F8" w:rsidRPr="00221506" w:rsidRDefault="00C416F8" w:rsidP="00C416F8">
      <w:pPr>
        <w:jc w:val="center"/>
        <w:rPr>
          <w:rFonts w:eastAsiaTheme="minorEastAsia"/>
          <w:sz w:val="22"/>
          <w:szCs w:val="22"/>
          <w:lang w:val="kk-KZ"/>
        </w:rPr>
      </w:pPr>
    </w:p>
    <w:tbl>
      <w:tblPr>
        <w:tblW w:w="96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3"/>
        <w:gridCol w:w="840"/>
        <w:gridCol w:w="719"/>
        <w:gridCol w:w="727"/>
        <w:gridCol w:w="851"/>
      </w:tblGrid>
      <w:tr w:rsidR="001E03E7" w:rsidRPr="00221506" w:rsidTr="005119D3">
        <w:trPr>
          <w:trHeight w:val="1066"/>
        </w:trPr>
        <w:tc>
          <w:tcPr>
            <w:tcW w:w="568" w:type="dxa"/>
            <w:vMerge w:val="restart"/>
          </w:tcPr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№</w:t>
            </w:r>
          </w:p>
        </w:tc>
        <w:tc>
          <w:tcPr>
            <w:tcW w:w="5953" w:type="dxa"/>
            <w:vMerge w:val="restart"/>
          </w:tcPr>
          <w:p w:rsidR="00C416F8" w:rsidRPr="00221506" w:rsidRDefault="00C416F8" w:rsidP="00500145">
            <w:pPr>
              <w:ind w:firstLine="306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C416F8" w:rsidP="00500145">
            <w:pPr>
              <w:ind w:firstLine="306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C416F8" w:rsidP="00500145">
            <w:pPr>
              <w:ind w:firstLine="306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Аұпараттық ресурстар </w:t>
            </w:r>
          </w:p>
        </w:tc>
        <w:tc>
          <w:tcPr>
            <w:tcW w:w="840" w:type="dxa"/>
            <w:vMerge w:val="restart"/>
          </w:tcPr>
          <w:p w:rsidR="00C416F8" w:rsidRPr="002D68A0" w:rsidRDefault="00C416F8" w:rsidP="00107712">
            <w:pPr>
              <w:ind w:right="-119"/>
              <w:rPr>
                <w:sz w:val="20"/>
                <w:szCs w:val="20"/>
                <w:lang w:val="kk-KZ"/>
              </w:rPr>
            </w:pPr>
            <w:r w:rsidRPr="002D68A0">
              <w:rPr>
                <w:sz w:val="20"/>
                <w:szCs w:val="20"/>
                <w:lang w:val="kk-KZ"/>
              </w:rPr>
              <w:t>Пәнді оқитын студент</w:t>
            </w:r>
            <w:r w:rsidR="002D68A0">
              <w:rPr>
                <w:sz w:val="20"/>
                <w:szCs w:val="20"/>
                <w:lang w:val="kk-KZ"/>
              </w:rPr>
              <w:t>тер</w:t>
            </w:r>
            <w:r w:rsidRPr="002D68A0">
              <w:rPr>
                <w:sz w:val="20"/>
                <w:szCs w:val="20"/>
                <w:lang w:val="kk-KZ"/>
              </w:rPr>
              <w:t xml:space="preserve"> саны </w:t>
            </w:r>
          </w:p>
        </w:tc>
        <w:tc>
          <w:tcPr>
            <w:tcW w:w="2297" w:type="dxa"/>
            <w:gridSpan w:val="3"/>
          </w:tcPr>
          <w:p w:rsidR="00C416F8" w:rsidRPr="00221506" w:rsidRDefault="00C416F8" w:rsidP="00500145">
            <w:pPr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әл-Фәрәби ат. </w:t>
            </w:r>
          </w:p>
          <w:p w:rsidR="00C416F8" w:rsidRPr="00221506" w:rsidRDefault="00C416F8" w:rsidP="00500145">
            <w:pPr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ҚазҮУ-ің кітапханасындағы </w:t>
            </w:r>
          </w:p>
          <w:p w:rsidR="00C416F8" w:rsidRPr="00221506" w:rsidRDefault="00C416F8" w:rsidP="00500145">
            <w:pPr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кітап саны </w:t>
            </w:r>
          </w:p>
        </w:tc>
      </w:tr>
      <w:tr w:rsidR="001E03E7" w:rsidRPr="00221506" w:rsidTr="005119D3">
        <w:tc>
          <w:tcPr>
            <w:tcW w:w="568" w:type="dxa"/>
            <w:vMerge/>
          </w:tcPr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953" w:type="dxa"/>
            <w:vMerge/>
          </w:tcPr>
          <w:p w:rsidR="00C416F8" w:rsidRPr="00221506" w:rsidRDefault="00C416F8" w:rsidP="00500145">
            <w:pPr>
              <w:ind w:firstLine="306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40" w:type="dxa"/>
            <w:vMerge/>
          </w:tcPr>
          <w:p w:rsidR="00C416F8" w:rsidRPr="00221506" w:rsidRDefault="00C416F8" w:rsidP="00500145">
            <w:pPr>
              <w:ind w:firstLine="709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left="-250" w:firstLine="250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қазаққ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851" w:type="dxa"/>
          </w:tcPr>
          <w:p w:rsidR="00C416F8" w:rsidRPr="00221506" w:rsidRDefault="00C416F8" w:rsidP="00500145">
            <w:pPr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ағылш</w:t>
            </w: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953" w:type="dxa"/>
          </w:tcPr>
          <w:p w:rsidR="00C416F8" w:rsidRPr="005C5455" w:rsidRDefault="00C416F8" w:rsidP="00500145">
            <w:pPr>
              <w:ind w:firstLine="306"/>
              <w:rPr>
                <w:b/>
                <w:sz w:val="22"/>
                <w:szCs w:val="22"/>
                <w:lang w:val="kk-KZ"/>
              </w:rPr>
            </w:pPr>
            <w:r w:rsidRPr="005C5455">
              <w:rPr>
                <w:b/>
                <w:sz w:val="22"/>
                <w:szCs w:val="22"/>
                <w:lang w:val="kk-KZ"/>
              </w:rPr>
              <w:t>Оқулықтар,  оқу-әдістемелік құралдар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709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firstLine="709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709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709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rPr>
          <w:trHeight w:val="539"/>
        </w:trPr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C416F8" w:rsidRPr="00221506" w:rsidRDefault="00D02E44" w:rsidP="005C5455">
            <w:pPr>
              <w:tabs>
                <w:tab w:val="left" w:pos="459"/>
              </w:tabs>
              <w:rPr>
                <w:sz w:val="22"/>
                <w:szCs w:val="22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Абаева Ғ.А., Төребаева К.Ж., Оразбаева Г.С., Қартбаева Ж.Ж. Арнай педагогика. Оқулық. - Қарағанды, 2019. - 262 б.</w:t>
            </w:r>
          </w:p>
        </w:tc>
        <w:tc>
          <w:tcPr>
            <w:tcW w:w="840" w:type="dxa"/>
          </w:tcPr>
          <w:p w:rsidR="00EA6BBB" w:rsidRPr="00221506" w:rsidRDefault="00EA6BBB" w:rsidP="002750CE">
            <w:pPr>
              <w:ind w:firstLine="34"/>
              <w:jc w:val="center"/>
              <w:rPr>
                <w:sz w:val="22"/>
                <w:szCs w:val="22"/>
                <w:lang w:eastAsia="ko-KR"/>
              </w:rPr>
            </w:pPr>
          </w:p>
          <w:p w:rsidR="00C416F8" w:rsidRPr="00221506" w:rsidRDefault="00EA6BBB" w:rsidP="002750CE">
            <w:pPr>
              <w:ind w:firstLine="34"/>
              <w:jc w:val="center"/>
              <w:rPr>
                <w:sz w:val="22"/>
                <w:szCs w:val="22"/>
                <w:lang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:rsidR="00586F71" w:rsidRPr="00221506" w:rsidRDefault="00586F71" w:rsidP="00586F71">
            <w:pPr>
              <w:ind w:firstLine="176"/>
              <w:jc w:val="center"/>
              <w:rPr>
                <w:sz w:val="22"/>
                <w:szCs w:val="22"/>
              </w:rPr>
            </w:pPr>
          </w:p>
          <w:p w:rsidR="00C416F8" w:rsidRPr="00221506" w:rsidRDefault="00586F71" w:rsidP="00586F71">
            <w:pPr>
              <w:ind w:firstLine="176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50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953" w:type="dxa"/>
          </w:tcPr>
          <w:p w:rsidR="00C416F8" w:rsidRPr="00221506" w:rsidRDefault="00F957EA" w:rsidP="005C5455">
            <w:pPr>
              <w:tabs>
                <w:tab w:val="left" w:pos="459"/>
              </w:tabs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Айтбаева А.Б. Арнай педагогика негіздері: оқу құралы. – Аламты: Қазақ университеті, 2017. – 250 б.</w:t>
            </w:r>
          </w:p>
        </w:tc>
        <w:tc>
          <w:tcPr>
            <w:tcW w:w="840" w:type="dxa"/>
          </w:tcPr>
          <w:p w:rsidR="00C416F8" w:rsidRPr="00221506" w:rsidRDefault="00EA6BBB" w:rsidP="002750CE">
            <w:pPr>
              <w:ind w:firstLine="34"/>
              <w:jc w:val="center"/>
              <w:rPr>
                <w:sz w:val="22"/>
                <w:szCs w:val="22"/>
                <w:lang w:val="kk-KZ"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:rsidR="00C416F8" w:rsidRPr="00221506" w:rsidRDefault="00C416F8" w:rsidP="00586F71">
            <w:pPr>
              <w:ind w:firstLine="176"/>
              <w:jc w:val="center"/>
              <w:rPr>
                <w:sz w:val="22"/>
                <w:szCs w:val="22"/>
                <w:lang w:val="kk-KZ"/>
              </w:rPr>
            </w:pPr>
          </w:p>
          <w:p w:rsidR="00586F71" w:rsidRPr="00221506" w:rsidRDefault="00586F71" w:rsidP="00586F71">
            <w:pPr>
              <w:ind w:firstLine="176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953" w:type="dxa"/>
          </w:tcPr>
          <w:p w:rsidR="00C416F8" w:rsidRPr="00221506" w:rsidRDefault="000004B3" w:rsidP="00B1735D">
            <w:pPr>
              <w:rPr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221506">
              <w:rPr>
                <w:bCs/>
                <w:sz w:val="22"/>
                <w:szCs w:val="22"/>
                <w:shd w:val="clear" w:color="auto" w:fill="FFFFFF"/>
                <w:lang w:val="kk-KZ"/>
              </w:rPr>
              <w:t>Мадалиева, З.Б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235A0"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, Б. А. Әрінова. </w:t>
            </w:r>
            <w:r w:rsidRPr="00221506">
              <w:rPr>
                <w:sz w:val="22"/>
                <w:szCs w:val="22"/>
                <w:lang w:val="kk-KZ"/>
              </w:rPr>
              <w:br/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 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Арнайы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педагогик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а және психология негіздері [Мәтін] : оқу құралы / З. Б. Мадалиева, Б. А. Әрінова ; әл-Фараби атын. ҚазҰУ. - Алм</w:t>
            </w:r>
            <w:r w:rsidR="00B1735D" w:rsidRPr="00221506">
              <w:rPr>
                <w:sz w:val="22"/>
                <w:szCs w:val="22"/>
                <w:shd w:val="clear" w:color="auto" w:fill="FFFFFF"/>
                <w:lang w:val="kk-KZ"/>
              </w:rPr>
              <w:t>аты : Қазақ ун-ті, 2016. - 185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 б. </w:t>
            </w:r>
          </w:p>
        </w:tc>
        <w:tc>
          <w:tcPr>
            <w:tcW w:w="840" w:type="dxa"/>
          </w:tcPr>
          <w:p w:rsidR="00C416F8" w:rsidRPr="00221506" w:rsidRDefault="00EA6BBB" w:rsidP="002750CE">
            <w:pPr>
              <w:ind w:firstLine="34"/>
              <w:jc w:val="center"/>
              <w:rPr>
                <w:sz w:val="22"/>
                <w:szCs w:val="22"/>
                <w:lang w:val="kk-KZ" w:eastAsia="ko-KR"/>
              </w:rPr>
            </w:pPr>
            <w:r w:rsidRPr="00221506">
              <w:rPr>
                <w:sz w:val="22"/>
                <w:szCs w:val="22"/>
                <w:lang w:val="kk-KZ" w:eastAsia="ko-KR"/>
              </w:rPr>
              <w:t>110</w:t>
            </w:r>
          </w:p>
        </w:tc>
        <w:tc>
          <w:tcPr>
            <w:tcW w:w="719" w:type="dxa"/>
          </w:tcPr>
          <w:p w:rsidR="00C416F8" w:rsidRPr="00221506" w:rsidRDefault="00C74DFA" w:rsidP="00586F71">
            <w:pPr>
              <w:ind w:firstLine="176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30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953" w:type="dxa"/>
          </w:tcPr>
          <w:p w:rsidR="00C416F8" w:rsidRPr="00221506" w:rsidRDefault="00C416F8" w:rsidP="00500145">
            <w:pPr>
              <w:rPr>
                <w:b/>
                <w:bCs/>
                <w:sz w:val="22"/>
                <w:szCs w:val="22"/>
                <w:shd w:val="clear" w:color="auto" w:fill="FFFFFF"/>
                <w:lang w:val="kk-KZ"/>
              </w:rPr>
            </w:pPr>
            <w:r w:rsidRPr="00221506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Интернет ресурстар 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</w:rPr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953" w:type="dxa"/>
          </w:tcPr>
          <w:p w:rsidR="005307FD" w:rsidRPr="00221506" w:rsidRDefault="005307FD" w:rsidP="00E75457">
            <w:pPr>
              <w:tabs>
                <w:tab w:val="left" w:pos="459"/>
              </w:tabs>
              <w:ind w:left="66"/>
              <w:rPr>
                <w:rFonts w:eastAsia="Calibri"/>
                <w:sz w:val="22"/>
                <w:szCs w:val="22"/>
                <w:lang w:val="kk-KZ" w:eastAsia="en-US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Қазақстан Республикасында инклюзивті білім беруді дамытудың тұжырымдамалық тәсілдері.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– Астана: Ы.Алтынсарин атындағы Ұлттық білім академиясы, 2015. – 13 б.</w:t>
            </w:r>
            <w:r w:rsidR="00E75457" w:rsidRPr="00221506">
              <w:rPr>
                <w:sz w:val="22"/>
                <w:szCs w:val="22"/>
                <w:lang w:val="kk-KZ"/>
              </w:rPr>
              <w:t xml:space="preserve"> </w:t>
            </w:r>
            <w:hyperlink r:id="rId5" w:history="1">
              <w:r w:rsidR="00E7545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685FF6" w:rsidP="00685FF6">
            <w:pPr>
              <w:ind w:hanging="97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953" w:type="dxa"/>
          </w:tcPr>
          <w:p w:rsidR="00C416F8" w:rsidRPr="00221506" w:rsidRDefault="00FF7D93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inorEastAsia"/>
                <w:sz w:val="22"/>
                <w:szCs w:val="22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 xml:space="preserve">Айдарбекова А.А.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Ермекбаева Л.Х., Дербисалова Г.С., Самигулина З.Р. </w:t>
            </w: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Алматы, ННПЦ КП, 2014.-116 с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. </w:t>
            </w:r>
          </w:p>
          <w:p w:rsidR="000B16B7" w:rsidRPr="00221506" w:rsidRDefault="00B60782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ajorEastAsia"/>
                <w:sz w:val="22"/>
                <w:szCs w:val="22"/>
                <w:lang w:val="kk-KZ"/>
              </w:rPr>
            </w:pPr>
            <w:hyperlink r:id="rId6" w:history="1">
              <w:r w:rsidR="000B16B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500145">
            <w:pPr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953" w:type="dxa"/>
          </w:tcPr>
          <w:p w:rsidR="00C416F8" w:rsidRPr="00221506" w:rsidRDefault="00FF7D93" w:rsidP="002D677F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TimesNewRomanPS-BoldMT"/>
                <w:bCs/>
                <w:sz w:val="22"/>
                <w:szCs w:val="22"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>Алипкалиева  Г.Б. «Инклюзивтік білім беру жағдайында мектеп жасына дейінгі мүмкіндігі шектеулі балаларды әлеуметтендіру».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500145">
            <w:pPr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953" w:type="dxa"/>
          </w:tcPr>
          <w:p w:rsidR="00C416F8" w:rsidRPr="00221506" w:rsidRDefault="00FF7D93" w:rsidP="006A3C54">
            <w:pPr>
              <w:tabs>
                <w:tab w:val="left" w:pos="459"/>
              </w:tabs>
              <w:rPr>
                <w:bCs/>
                <w:sz w:val="22"/>
                <w:szCs w:val="22"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Білім беру ұйымдарының тәжірибесіне инклюзивтік педагогика мен енгізу жүйесінің қағидаларын дайындау. Әдістемелік ұсынымдар. –Астана: Ы. Алтынсарин атындағы Ұлттық білім академиясы, 2015. – 33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hyperlink r:id="rId7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685FF6">
            <w:pPr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rPr>
          <w:trHeight w:val="981"/>
        </w:trPr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91062A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953" w:type="dxa"/>
          </w:tcPr>
          <w:p w:rsidR="006A3C54" w:rsidRPr="00221506" w:rsidRDefault="00FF7D93" w:rsidP="006A3C54">
            <w:pPr>
              <w:tabs>
                <w:tab w:val="left" w:pos="459"/>
              </w:tabs>
              <w:ind w:left="66"/>
              <w:rPr>
                <w:kern w:val="36"/>
                <w:sz w:val="22"/>
                <w:szCs w:val="22"/>
                <w:lang w:val="kk-KZ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Білім беру ұйымдарындағы психологиялық-педагогикалық консилиум ережесі.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Әдістемелік ұсынымдар. – Астана: Ы. Алтынсарин атындағы Ұлттық білім академиясы, 2016.–38 б</w:t>
            </w:r>
            <w:r w:rsidR="005307FD" w:rsidRPr="00221506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hyperlink r:id="rId8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ind w:hanging="97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953" w:type="dxa"/>
          </w:tcPr>
          <w:p w:rsidR="00C416F8" w:rsidRPr="00221506" w:rsidRDefault="005307FD" w:rsidP="00500145">
            <w:pPr>
              <w:outlineLvl w:val="0"/>
              <w:rPr>
                <w:sz w:val="22"/>
                <w:szCs w:val="22"/>
                <w:lang w:val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Ерекше оқыту қажеттіліктеріне қарай қысқа мерзімдік, орташа мерзімдік және ұзақ мезімдік негізде оқушыларға психологиялық-педагогикалық қолдау көрсету. Әдістемелік ұсынымдар. – Астана: Ы. Алтынсарин атындағы Ұлттық білім академиясы, 2015. – 80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</w:t>
            </w:r>
            <w:hyperlink r:id="rId9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  <w:r w:rsidR="006A3C54" w:rsidRPr="002215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rPr>
                <w:sz w:val="22"/>
                <w:szCs w:val="22"/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953" w:type="dxa"/>
          </w:tcPr>
          <w:p w:rsidR="00C416F8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sz w:val="22"/>
                <w:szCs w:val="22"/>
                <w:lang w:val="kk-KZ"/>
              </w:rPr>
            </w:pP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 xml:space="preserve">Ерекше білім беруге қажеттілігі бар балаларды оқыту, тәрбиелеу, дамыту және әлеуметтік бейімдеуді педагогикалық қолдау </w:t>
            </w:r>
            <w:r w:rsidRPr="00221506">
              <w:rPr>
                <w:rFonts w:eastAsia="TimesNewRomanPSMT"/>
                <w:bCs/>
                <w:sz w:val="22"/>
                <w:szCs w:val="22"/>
                <w:lang w:val="kk-KZ" w:eastAsia="en-US"/>
              </w:rPr>
              <w:t xml:space="preserve">моделі. </w:t>
            </w: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>Әдістемелік ұсынымдар. – Астана: Ы. Алтынсарин атындағы Ұлттық білім академиясы, 2016. – 39 б.</w:t>
            </w:r>
            <w:r w:rsidR="006A3C54" w:rsidRPr="00221506">
              <w:rPr>
                <w:sz w:val="22"/>
                <w:szCs w:val="22"/>
                <w:lang w:val="kk-KZ"/>
              </w:rPr>
              <w:t xml:space="preserve">    </w:t>
            </w:r>
            <w:hyperlink r:id="rId10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5953" w:type="dxa"/>
          </w:tcPr>
          <w:p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="TimesNewRomanPSMT"/>
                <w:sz w:val="22"/>
                <w:szCs w:val="22"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 xml:space="preserve">Ерекше қажеттіліктері бар балаларды жалпы білім беру үдерісіне енгізу үлгілерін дайындау. Әдістемелік </w:t>
            </w: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lastRenderedPageBreak/>
              <w:t>ұсыныстар.– Астана: Ы. Алтынсарин атындағы ҰБА, 2015. – 48 с.</w:t>
            </w:r>
            <w:r w:rsidR="006A3C54" w:rsidRPr="00791D04">
              <w:rPr>
                <w:sz w:val="22"/>
                <w:szCs w:val="22"/>
                <w:lang w:val="kk-KZ"/>
              </w:rPr>
              <w:t xml:space="preserve">    </w:t>
            </w:r>
            <w:hyperlink r:id="rId11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ind w:hanging="97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sz w:val="22"/>
                <w:szCs w:val="22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953" w:type="dxa"/>
          </w:tcPr>
          <w:p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Theme="minorHAnsi"/>
                <w:sz w:val="22"/>
                <w:szCs w:val="22"/>
                <w:lang w:val="kk-KZ" w:eastAsia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Жалпы білім беретін мектептерде арнайы сыныптардың жұмысын ұйымдастыру. Әдістемелік ұсынымдар.-Астана:Ы.Алтынсарин атындағы ҰБА, 2016. – 47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б.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</w:t>
            </w:r>
            <w:hyperlink r:id="rId12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5307FD" w:rsidRDefault="005307FD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953" w:type="dxa"/>
          </w:tcPr>
          <w:p w:rsidR="005307FD" w:rsidRPr="00221506" w:rsidRDefault="005307FD" w:rsidP="006A3C54">
            <w:pPr>
              <w:tabs>
                <w:tab w:val="left" w:pos="459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Мектептік консилиумдар құру және ерекше қажеттіліктері бар балаларға интенсивті, кең және арнайы қолдау көрсету. Әдістемелік ұсынымдар. – Астана: Ы. Алтынсарин атындағы Ұлттық білім академиясы, 2015. – 32 б.</w:t>
            </w:r>
          </w:p>
          <w:p w:rsidR="006A3C54" w:rsidRPr="00221506" w:rsidRDefault="00B60782" w:rsidP="00221506">
            <w:pPr>
              <w:tabs>
                <w:tab w:val="left" w:pos="459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hyperlink r:id="rId13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5307FD" w:rsidRDefault="005307FD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5953" w:type="dxa"/>
          </w:tcPr>
          <w:p w:rsidR="005307FD" w:rsidRPr="00221506" w:rsidRDefault="002D677F" w:rsidP="002D67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Психолого-педагогическое сопровождение детей с особыми образовательными потребностями в общеобразовательной школе: метод. рекомендации/Елисеева И.Г., Ерсарина А.К. - Алматы: ННП Ц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КП ,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2019. </w:t>
            </w:r>
            <w:r w:rsidR="00A77E77" w:rsidRPr="00221506">
              <w:rPr>
                <w:rFonts w:eastAsia="TimesNewRomanPSMT"/>
                <w:sz w:val="22"/>
                <w:szCs w:val="22"/>
                <w:lang w:eastAsia="en-US"/>
              </w:rPr>
              <w:t>–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96</w:t>
            </w:r>
            <w:r w:rsidR="00A77E77"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с.</w:t>
            </w:r>
          </w:p>
          <w:p w:rsidR="00802911" w:rsidRPr="00221506" w:rsidRDefault="00B60782" w:rsidP="002D677F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kk-KZ"/>
              </w:rPr>
            </w:pPr>
            <w:hyperlink r:id="rId14" w:history="1">
              <w:r w:rsidR="00802911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5307FD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:rsidR="005307FD" w:rsidRPr="00221506" w:rsidRDefault="003C1788" w:rsidP="003C1788">
            <w:pPr>
              <w:ind w:firstLine="34"/>
              <w:jc w:val="center"/>
              <w:rPr>
                <w:sz w:val="22"/>
                <w:szCs w:val="22"/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953" w:type="dxa"/>
          </w:tcPr>
          <w:p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Технологические основы коррекционно-педагогической работы с детьми дошкольного возраста с нарушением интеллекта (образовательная область «Познание», подобласти «Сенсорное воспитание», «Формирование мышления»): метод.рекомендации/ сост. Б.С. Халыкова, О.В.Завалишина, - Алматы, 2014. - 86 с.</w:t>
            </w:r>
          </w:p>
          <w:p w:rsidR="00C1707F" w:rsidRPr="00221506" w:rsidRDefault="00B60782" w:rsidP="00C170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hyperlink r:id="rId15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5953" w:type="dxa"/>
          </w:tcPr>
          <w:p w:rsidR="00C1707F" w:rsidRPr="00221506" w:rsidRDefault="00C1707F" w:rsidP="00C1707F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Б.С. Халыкова, А.К. Кенжеева. Проектирование индивидуально-развивающей программы для</w:t>
            </w:r>
          </w:p>
          <w:p w:rsidR="00802911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детей раннего возраста с ограниченными возможностями в развитии.</w:t>
            </w:r>
            <w:r w:rsidRPr="0022150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Алматы: ННП Ц КП , 2014. – 56 с.</w:t>
            </w:r>
          </w:p>
          <w:p w:rsidR="0049132B" w:rsidRPr="00221506" w:rsidRDefault="00B60782" w:rsidP="00C170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hyperlink r:id="rId16" w:history="1">
              <w:r w:rsidR="0049132B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5953" w:type="dxa"/>
          </w:tcPr>
          <w:p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Организация мониторинга и оценка уровня функциональной грамотности школьников с нарушением интеллекта: методические рекомендации/ сост. Елисеева И.Г., Даурцева Г.Ю. – Алматы: ННП Ц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КП ,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2015.- 39 с. </w:t>
            </w:r>
          </w:p>
          <w:p w:rsidR="00C1707F" w:rsidRPr="00221506" w:rsidRDefault="00B60782" w:rsidP="00C170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hyperlink r:id="rId17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953" w:type="dxa"/>
          </w:tcPr>
          <w:p w:rsidR="00802911" w:rsidRDefault="00C1707F" w:rsidP="002D677F">
            <w:pPr>
              <w:autoSpaceDE w:val="0"/>
              <w:autoSpaceDN w:val="0"/>
              <w:adjustRightInd w:val="0"/>
              <w:rPr>
                <w:rStyle w:val="A00"/>
                <w:sz w:val="22"/>
                <w:szCs w:val="22"/>
              </w:rPr>
            </w:pPr>
            <w:r w:rsidRPr="00221506">
              <w:rPr>
                <w:rStyle w:val="A00"/>
                <w:sz w:val="22"/>
                <w:szCs w:val="22"/>
              </w:rPr>
              <w:t>Профессиональное сопровождение педагогов общеобразовательных школ, реализующих инклюзивную практику: методические рекомендации / сост.Елисеева И.Г., Чумакова О.Ф. –Алматы, ННПЦ КП, 2015. - 48 с.</w:t>
            </w:r>
          </w:p>
          <w:p w:rsidR="00221506" w:rsidRPr="00221506" w:rsidRDefault="00B60782" w:rsidP="002D67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hyperlink r:id="rId18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5953" w:type="dxa"/>
          </w:tcPr>
          <w:p w:rsidR="00221506" w:rsidRDefault="00221506" w:rsidP="002D67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Формирование социальной компетентности детей с ограниченными возмож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ностями, обучающихся в инклюзивной (интегрированной) среде: метод.рекомен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 xml:space="preserve">дации/ сост. А.А.Айдарбекова, Л.К.Ермекбаева, Г.С.Дербисалова, З.Р.Самигулина. – Алматы: ННПЦ КП, </w:t>
            </w:r>
            <w:proofErr w:type="gram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2015.-</w:t>
            </w:r>
            <w:proofErr w:type="gram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71 с.</w:t>
            </w:r>
          </w:p>
          <w:p w:rsidR="00802911" w:rsidRPr="00221506" w:rsidRDefault="00221506" w:rsidP="002D677F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r w:rsidRPr="00221506">
              <w:rPr>
                <w:sz w:val="22"/>
                <w:szCs w:val="22"/>
              </w:rPr>
              <w:t xml:space="preserve"> </w:t>
            </w:r>
            <w:hyperlink r:id="rId19" w:history="1">
              <w:r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sz w:val="22"/>
                <w:szCs w:val="22"/>
                <w:lang w:val="kk-KZ"/>
              </w:rPr>
            </w:pPr>
          </w:p>
        </w:tc>
      </w:tr>
      <w:tr w:rsidR="000F4884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953" w:type="dxa"/>
          </w:tcPr>
          <w:p w:rsidR="000F4884" w:rsidRP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Модель педагогической поддержки обучения, воспитания, развития и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социальной адаптации детей с особыми образовательными потребностями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(детей – оралманов; детей- мигрантов; детей, оказавшихся в трудной</w:t>
            </w:r>
          </w:p>
          <w:p w:rsid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sz w:val="22"/>
                <w:szCs w:val="22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жизненной ситуации). Методические рекомендации. – Астана: НАО имени И.</w:t>
            </w:r>
            <w:r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Алтынсарина, 2016. – 37 с.</w:t>
            </w:r>
          </w:p>
          <w:p w:rsidR="0049132B" w:rsidRPr="00221506" w:rsidRDefault="00B60782" w:rsidP="000F48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hyperlink r:id="rId20" w:history="1">
              <w:r w:rsidR="0049132B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0F4884" w:rsidRPr="00221506" w:rsidRDefault="000F4884" w:rsidP="00500145">
            <w:pPr>
              <w:ind w:firstLine="284"/>
              <w:jc w:val="center"/>
              <w:rPr>
                <w:sz w:val="22"/>
                <w:szCs w:val="22"/>
                <w:lang w:val="kk-KZ" w:eastAsia="ko-KR"/>
              </w:rPr>
            </w:pPr>
          </w:p>
        </w:tc>
        <w:tc>
          <w:tcPr>
            <w:tcW w:w="719" w:type="dxa"/>
          </w:tcPr>
          <w:p w:rsidR="000F4884" w:rsidRPr="00221506" w:rsidRDefault="000F4884" w:rsidP="00500145">
            <w:pPr>
              <w:ind w:firstLine="284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27" w:type="dxa"/>
          </w:tcPr>
          <w:p w:rsidR="000F4884" w:rsidRPr="00221506" w:rsidRDefault="0004340D" w:rsidP="003C1788">
            <w:pPr>
              <w:ind w:firstLine="34"/>
              <w:jc w:val="center"/>
              <w:rPr>
                <w:sz w:val="22"/>
                <w:szCs w:val="22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0F4884" w:rsidRPr="00221506" w:rsidRDefault="000F4884" w:rsidP="00500145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C416F8" w:rsidRPr="00221506" w:rsidRDefault="00C416F8" w:rsidP="00C416F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</w:rPr>
      </w:pPr>
    </w:p>
    <w:p w:rsidR="00D02E44" w:rsidRPr="00221506" w:rsidRDefault="00D02E44" w:rsidP="00FF7D93">
      <w:pPr>
        <w:rPr>
          <w:rFonts w:eastAsiaTheme="minorEastAsia"/>
          <w:sz w:val="22"/>
          <w:szCs w:val="22"/>
          <w:lang w:val="kk-KZ"/>
        </w:rPr>
      </w:pPr>
    </w:p>
    <w:sectPr w:rsidR="00D02E44" w:rsidRPr="0022150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D7B"/>
    <w:rsid w:val="000004B3"/>
    <w:rsid w:val="0004340D"/>
    <w:rsid w:val="000B16B7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9568F"/>
    <w:rsid w:val="003B02D6"/>
    <w:rsid w:val="003B12E5"/>
    <w:rsid w:val="003C0412"/>
    <w:rsid w:val="003C1788"/>
    <w:rsid w:val="00470AD8"/>
    <w:rsid w:val="0049132B"/>
    <w:rsid w:val="004B78E8"/>
    <w:rsid w:val="004C5944"/>
    <w:rsid w:val="005119D3"/>
    <w:rsid w:val="005307FD"/>
    <w:rsid w:val="00543A7A"/>
    <w:rsid w:val="00586F71"/>
    <w:rsid w:val="005A0F1B"/>
    <w:rsid w:val="005C5455"/>
    <w:rsid w:val="00685FF6"/>
    <w:rsid w:val="006A3C54"/>
    <w:rsid w:val="007066F2"/>
    <w:rsid w:val="00727DE0"/>
    <w:rsid w:val="00791D04"/>
    <w:rsid w:val="007D4BA6"/>
    <w:rsid w:val="00802911"/>
    <w:rsid w:val="00817FA8"/>
    <w:rsid w:val="00875D7B"/>
    <w:rsid w:val="0091062A"/>
    <w:rsid w:val="0096662A"/>
    <w:rsid w:val="00A77E77"/>
    <w:rsid w:val="00AA65C6"/>
    <w:rsid w:val="00AB60C4"/>
    <w:rsid w:val="00AE59AF"/>
    <w:rsid w:val="00B1735D"/>
    <w:rsid w:val="00B45636"/>
    <w:rsid w:val="00B60782"/>
    <w:rsid w:val="00B95CD3"/>
    <w:rsid w:val="00BA30C3"/>
    <w:rsid w:val="00C02B5E"/>
    <w:rsid w:val="00C1707F"/>
    <w:rsid w:val="00C235A0"/>
    <w:rsid w:val="00C25D54"/>
    <w:rsid w:val="00C416F8"/>
    <w:rsid w:val="00C74DFA"/>
    <w:rsid w:val="00CF0184"/>
    <w:rsid w:val="00D02E44"/>
    <w:rsid w:val="00D07F19"/>
    <w:rsid w:val="00E75457"/>
    <w:rsid w:val="00EA6BBB"/>
    <w:rsid w:val="00F957EA"/>
    <w:rsid w:val="00FF3368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8E1DB-A7AE-41A8-8292-12737340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  <w:lang w:val="x-none"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o.kz/loader/fromorg/2/25" TargetMode="External"/><Relationship Id="rId13" Type="http://schemas.openxmlformats.org/officeDocument/2006/relationships/hyperlink" Target="https://nao.kz/loader/fromorg/2/25" TargetMode="External"/><Relationship Id="rId18" Type="http://schemas.openxmlformats.org/officeDocument/2006/relationships/hyperlink" Target="https://special-edu.kz/index.php?do=static&amp;page=speco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o.kz/loader/fromorg/2/25" TargetMode="External"/><Relationship Id="rId12" Type="http://schemas.openxmlformats.org/officeDocument/2006/relationships/hyperlink" Target="https://nao.kz/loader/fromorg/2/25" TargetMode="External"/><Relationship Id="rId17" Type="http://schemas.openxmlformats.org/officeDocument/2006/relationships/hyperlink" Target="https://special-edu.kz/index.php?do=static&amp;page=speco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ecial-edu.kz/index.php?do=static&amp;page=specobr" TargetMode="External"/><Relationship Id="rId20" Type="http://schemas.openxmlformats.org/officeDocument/2006/relationships/hyperlink" Target="https://nao.kz/loader/fromorg/2/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ecial-edu.kz/index.php?do=static&amp;page=specobr" TargetMode="External"/><Relationship Id="rId11" Type="http://schemas.openxmlformats.org/officeDocument/2006/relationships/hyperlink" Target="https://nao.kz/loader/fromorg/2/25" TargetMode="External"/><Relationship Id="rId5" Type="http://schemas.openxmlformats.org/officeDocument/2006/relationships/hyperlink" Target="https://nao.kz/loader/fromorg/2/25" TargetMode="External"/><Relationship Id="rId15" Type="http://schemas.openxmlformats.org/officeDocument/2006/relationships/hyperlink" Target="https://special-edu.kz/index.php?do=static&amp;page=specobr" TargetMode="External"/><Relationship Id="rId10" Type="http://schemas.openxmlformats.org/officeDocument/2006/relationships/hyperlink" Target="https://nao.kz/loader/fromorg/2/25" TargetMode="External"/><Relationship Id="rId19" Type="http://schemas.openxmlformats.org/officeDocument/2006/relationships/hyperlink" Target="https://special-edu.kz/index.php?do=static&amp;page=speco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o.kz/loader/fromorg/2/25" TargetMode="External"/><Relationship Id="rId14" Type="http://schemas.openxmlformats.org/officeDocument/2006/relationships/hyperlink" Target="https://special-edu.kz/index.php?do=static&amp;page=speco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2023-09-27T10:22:00Z</dcterms:created>
  <dcterms:modified xsi:type="dcterms:W3CDTF">2023-09-27T10:22:00Z</dcterms:modified>
</cp:coreProperties>
</file>